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78" w:lineRule="exact"/>
        <w:jc w:val="center"/>
        <w:rPr>
          <w:rFonts w:ascii="方正小标宋简体" w:hAnsi="方正小标宋简体" w:eastAsia="方正小标宋简体" w:cs="方正小标宋简体"/>
          <w:bCs/>
          <w:color w:val="000000"/>
          <w:sz w:val="44"/>
          <w:szCs w:val="44"/>
          <w:shd w:val="clear" w:color="auto" w:fill="FFFFFF"/>
        </w:rPr>
      </w:pPr>
      <w:r>
        <w:rPr>
          <w:rFonts w:hint="eastAsia" w:ascii="方正小标宋简体" w:hAnsi="方正小标宋简体" w:eastAsia="方正小标宋简体" w:cs="方正小标宋简体"/>
          <w:bCs/>
          <w:color w:val="000000"/>
          <w:sz w:val="44"/>
          <w:szCs w:val="44"/>
          <w:shd w:val="clear" w:color="auto" w:fill="FFFFFF"/>
        </w:rPr>
        <w:t>万源市秦河乡人民政府</w:t>
      </w:r>
    </w:p>
    <w:p>
      <w:pPr>
        <w:adjustRightInd w:val="0"/>
        <w:snapToGrid w:val="0"/>
        <w:spacing w:line="578" w:lineRule="exact"/>
        <w:jc w:val="center"/>
        <w:rPr>
          <w:rFonts w:ascii="方正小标宋简体" w:hAnsi="方正小标宋简体" w:eastAsia="方正小标宋简体" w:cs="方正小标宋简体"/>
          <w:bCs/>
          <w:color w:val="000000"/>
          <w:sz w:val="44"/>
          <w:szCs w:val="44"/>
          <w:shd w:val="clear" w:color="auto" w:fill="FFFFFF"/>
        </w:rPr>
      </w:pPr>
      <w:r>
        <w:rPr>
          <w:rFonts w:hint="eastAsia" w:ascii="方正小标宋简体" w:hAnsi="方正小标宋简体" w:eastAsia="方正小标宋简体" w:cs="方正小标宋简体"/>
          <w:bCs/>
          <w:color w:val="000000"/>
          <w:sz w:val="44"/>
          <w:szCs w:val="44"/>
          <w:shd w:val="clear" w:color="auto" w:fill="FFFFFF"/>
        </w:rPr>
        <w:t>关于</w:t>
      </w:r>
      <w:r>
        <w:rPr>
          <w:rFonts w:ascii="方正小标宋简体" w:hAnsi="方正小标宋简体" w:eastAsia="方正小标宋简体" w:cs="方正小标宋简体"/>
          <w:bCs/>
          <w:color w:val="000000"/>
          <w:sz w:val="44"/>
          <w:szCs w:val="44"/>
          <w:shd w:val="clear" w:color="auto" w:fill="FFFFFF"/>
        </w:rPr>
        <w:t>201</w:t>
      </w:r>
      <w:r>
        <w:rPr>
          <w:rFonts w:hint="eastAsia" w:ascii="方正小标宋简体" w:hAnsi="方正小标宋简体" w:eastAsia="方正小标宋简体" w:cs="方正小标宋简体"/>
          <w:bCs/>
          <w:color w:val="000000"/>
          <w:sz w:val="44"/>
          <w:szCs w:val="44"/>
          <w:shd w:val="clear" w:color="auto" w:fill="FFFFFF"/>
          <w:lang w:val="en-US" w:eastAsia="zh-CN"/>
        </w:rPr>
        <w:t>8</w:t>
      </w:r>
      <w:r>
        <w:rPr>
          <w:rFonts w:hint="eastAsia" w:ascii="方正小标宋简体" w:hAnsi="方正小标宋简体" w:eastAsia="方正小标宋简体" w:cs="方正小标宋简体"/>
          <w:bCs/>
          <w:color w:val="000000"/>
          <w:sz w:val="44"/>
          <w:szCs w:val="44"/>
          <w:shd w:val="clear" w:color="auto" w:fill="FFFFFF"/>
        </w:rPr>
        <w:t>年预算编制的说明</w:t>
      </w:r>
    </w:p>
    <w:p>
      <w:pPr>
        <w:pStyle w:val="5"/>
        <w:widowControl/>
        <w:shd w:val="clear" w:color="auto" w:fill="FFFFFF"/>
        <w:adjustRightInd w:val="0"/>
        <w:snapToGrid w:val="0"/>
        <w:spacing w:beforeAutospacing="0" w:afterAutospacing="0" w:line="578" w:lineRule="exact"/>
        <w:jc w:val="both"/>
        <w:rPr>
          <w:rFonts w:ascii="Times New Roman" w:hAnsi="Times New Roman" w:eastAsia="Times New Roman"/>
          <w:color w:val="000000"/>
          <w:sz w:val="32"/>
          <w:szCs w:val="32"/>
          <w:shd w:val="clear" w:color="auto" w:fill="FFFFFF"/>
        </w:rPr>
      </w:pPr>
    </w:p>
    <w:p>
      <w:pPr>
        <w:pStyle w:val="5"/>
        <w:widowControl/>
        <w:shd w:val="clear" w:color="auto" w:fill="FFFFFF"/>
        <w:adjustRightInd w:val="0"/>
        <w:snapToGrid w:val="0"/>
        <w:spacing w:beforeAutospacing="0" w:afterAutospacing="0" w:line="578" w:lineRule="exact"/>
        <w:jc w:val="both"/>
        <w:rPr>
          <w:rFonts w:ascii="Times New Roman" w:hAnsi="Times New Roman" w:eastAsia="Times New Roman"/>
          <w:color w:val="000000"/>
          <w:sz w:val="32"/>
          <w:szCs w:val="32"/>
        </w:rPr>
      </w:pPr>
      <w:r>
        <w:rPr>
          <w:rFonts w:ascii="Times New Roman" w:hAnsi="Times New Roman" w:eastAsia="Times New Roman"/>
          <w:color w:val="000000"/>
          <w:sz w:val="32"/>
          <w:szCs w:val="32"/>
          <w:shd w:val="clear" w:color="auto" w:fill="FFFFFF"/>
        </w:rPr>
        <w:t xml:space="preserve">    </w:t>
      </w:r>
      <w:r>
        <w:rPr>
          <w:rFonts w:hint="eastAsia" w:ascii="宋体" w:hAnsi="宋体" w:cs="宋体"/>
          <w:color w:val="000000"/>
          <w:sz w:val="32"/>
          <w:szCs w:val="32"/>
          <w:shd w:val="clear" w:color="auto" w:fill="FFFFFF"/>
        </w:rPr>
        <w:t>按照预算管理有关规定，目前部门预算的编制实行综合预算制度，即全部收入和支出都反映在预算中。</w:t>
      </w:r>
    </w:p>
    <w:p>
      <w:pPr>
        <w:pStyle w:val="5"/>
        <w:widowControl/>
        <w:shd w:val="clear" w:color="auto" w:fill="FFFFFF"/>
        <w:adjustRightInd w:val="0"/>
        <w:snapToGrid w:val="0"/>
        <w:spacing w:beforeAutospacing="0" w:afterAutospacing="0" w:line="578" w:lineRule="exact"/>
        <w:jc w:val="both"/>
        <w:rPr>
          <w:rFonts w:eastAsia="黑体"/>
          <w:kern w:val="2"/>
          <w:sz w:val="32"/>
          <w:szCs w:val="32"/>
        </w:rPr>
      </w:pPr>
      <w:r>
        <w:rPr>
          <w:rFonts w:eastAsia="黑体"/>
          <w:kern w:val="2"/>
          <w:sz w:val="32"/>
          <w:szCs w:val="32"/>
        </w:rPr>
        <w:t xml:space="preserve">     </w:t>
      </w:r>
      <w:r>
        <w:rPr>
          <w:rFonts w:hint="eastAsia" w:eastAsia="黑体"/>
          <w:kern w:val="2"/>
          <w:sz w:val="32"/>
          <w:szCs w:val="32"/>
        </w:rPr>
        <w:t>一、基本职能及主要工作</w:t>
      </w:r>
    </w:p>
    <w:p>
      <w:pPr>
        <w:pStyle w:val="2"/>
        <w:spacing w:beforeLines="0" w:line="619" w:lineRule="exact"/>
        <w:rPr>
          <w:rFonts w:ascii="Times New Roman" w:hAnsi="Times New Roman" w:eastAsia="Times New Roman"/>
          <w:sz w:val="32"/>
          <w:szCs w:val="32"/>
        </w:rPr>
      </w:pPr>
      <w:r>
        <w:rPr>
          <w:rFonts w:ascii="??????" w:hAnsi="??????" w:eastAsia="Times New Roman" w:cs="??????"/>
          <w:color w:val="000000"/>
          <w:sz w:val="32"/>
          <w:szCs w:val="32"/>
          <w:shd w:val="clear" w:color="auto" w:fill="FFFFFF"/>
        </w:rPr>
        <w:t xml:space="preserve">   </w:t>
      </w:r>
      <w:r>
        <w:rPr>
          <w:rFonts w:ascii="??????" w:hAnsi="宋体" w:eastAsia="Times New Roman" w:cs="宋体"/>
          <w:sz w:val="32"/>
          <w:szCs w:val="32"/>
        </w:rPr>
        <w:t>秦河乡人民政府的主要职能是保证党的路线方针政策的贯彻执行，服从和服务于经济建设，组织经济运行促进经济发展，制定和组织实施村镇建设，以及公共设施；负责民政、计划生育、文化教育、卫生、体育等社会公益事业的综合性工作，调解和处理民事纠纷，维护一切经济单位和个人的正当权益，打击刑事犯罪维护社会稳定，以及抓好精神文明建设，树立社会主义新风尚和完成上级交待的其它事项等工作。</w:t>
      </w:r>
      <w:r>
        <w:rPr>
          <w:rFonts w:hint="eastAsia" w:ascii="宋体" w:hAnsi="宋体" w:eastAsia="宋体" w:cs="宋体"/>
          <w:color w:val="000000"/>
          <w:sz w:val="32"/>
          <w:szCs w:val="32"/>
          <w:shd w:val="clear" w:color="auto" w:fill="FFFFFF"/>
        </w:rPr>
        <w:t>　　</w:t>
      </w:r>
    </w:p>
    <w:p>
      <w:pPr>
        <w:pStyle w:val="2"/>
        <w:adjustRightInd w:val="0"/>
        <w:snapToGrid w:val="0"/>
        <w:spacing w:beforeLines="0" w:line="578" w:lineRule="exact"/>
        <w:rPr>
          <w:rFonts w:ascii="Times New Roman" w:hAnsi="Times New Roman" w:eastAsia="Times New Roman"/>
          <w:color w:val="000000"/>
          <w:kern w:val="0"/>
          <w:sz w:val="32"/>
          <w:szCs w:val="32"/>
          <w:shd w:val="clear" w:color="auto" w:fill="FFFFFF"/>
        </w:rPr>
      </w:pPr>
      <w:r>
        <w:rPr>
          <w:rFonts w:ascii="Calibri" w:eastAsia="黑体"/>
          <w:sz w:val="32"/>
          <w:szCs w:val="32"/>
        </w:rPr>
        <w:t xml:space="preserve">    </w:t>
      </w:r>
      <w:r>
        <w:rPr>
          <w:rFonts w:hint="eastAsia" w:ascii="Calibri" w:eastAsia="黑体"/>
          <w:sz w:val="32"/>
          <w:szCs w:val="32"/>
        </w:rPr>
        <w:t>二、乡镇概况</w:t>
      </w:r>
    </w:p>
    <w:p>
      <w:pPr>
        <w:pStyle w:val="2"/>
        <w:spacing w:beforeLines="0" w:line="619" w:lineRule="exact"/>
        <w:rPr>
          <w:rFonts w:ascii="??????" w:hAnsi="宋体" w:eastAsia="Times New Roman" w:cs="宋体"/>
          <w:sz w:val="32"/>
          <w:szCs w:val="32"/>
        </w:rPr>
      </w:pPr>
      <w:r>
        <w:rPr>
          <w:rFonts w:ascii="??????" w:hAnsi="宋体" w:eastAsia="Times New Roman" w:cs="宋体"/>
          <w:sz w:val="32"/>
          <w:szCs w:val="32"/>
        </w:rPr>
        <w:t xml:space="preserve">    </w:t>
      </w:r>
      <w:r>
        <w:rPr>
          <w:rFonts w:hint="eastAsia" w:ascii="??????" w:hAnsi="宋体" w:eastAsia="宋体" w:cs="宋体"/>
          <w:sz w:val="32"/>
          <w:szCs w:val="32"/>
          <w:lang w:eastAsia="zh-CN"/>
        </w:rPr>
        <w:t>万源市</w:t>
      </w:r>
      <w:r>
        <w:rPr>
          <w:rFonts w:ascii="??????" w:hAnsi="宋体" w:eastAsia="Times New Roman" w:cs="宋体"/>
          <w:sz w:val="32"/>
          <w:szCs w:val="32"/>
        </w:rPr>
        <w:t>秦河乡人民政府</w:t>
      </w:r>
      <w:r>
        <w:rPr>
          <w:rFonts w:hint="eastAsia" w:ascii="??????" w:hAnsi="宋体" w:eastAsia="Times New Roman" w:cs="宋体"/>
          <w:sz w:val="32"/>
          <w:szCs w:val="32"/>
        </w:rPr>
        <w:t>秦河乡地处万源市西南方，距城区90公里，幅员面积48平方公里，1828户7646人。东邻河口镇，西邻平昌县镇龙镇，南靠庙垭乡，北连石窝乡，辖半边街、金钢坝、老鹰寨、向岗岭、三官场五个村，33个村民小组</w:t>
      </w:r>
      <w:r>
        <w:rPr>
          <w:rFonts w:hint="eastAsia" w:ascii="??????" w:hAnsi="宋体" w:eastAsia="Times New Roman" w:cs="宋体"/>
          <w:sz w:val="32"/>
          <w:szCs w:val="32"/>
          <w:lang w:eastAsia="zh-CN"/>
        </w:rPr>
        <w:t>。村民主要靠发展种养殖和外出务工提高经济收入。</w:t>
      </w:r>
    </w:p>
    <w:p>
      <w:pPr>
        <w:pStyle w:val="2"/>
        <w:adjustRightInd w:val="0"/>
        <w:snapToGrid w:val="0"/>
        <w:spacing w:beforeLines="0" w:line="578" w:lineRule="exact"/>
        <w:rPr>
          <w:rFonts w:ascii="Times New Roman" w:hAnsi="Times New Roman" w:eastAsia="Times New Roman"/>
          <w:color w:val="000000"/>
          <w:kern w:val="0"/>
          <w:sz w:val="32"/>
          <w:szCs w:val="32"/>
          <w:shd w:val="clear" w:color="auto" w:fill="FFFFFF"/>
        </w:rPr>
      </w:pPr>
    </w:p>
    <w:p>
      <w:pPr>
        <w:pStyle w:val="5"/>
        <w:widowControl/>
        <w:shd w:val="clear" w:color="auto" w:fill="FFFFFF"/>
        <w:adjustRightInd w:val="0"/>
        <w:snapToGrid w:val="0"/>
        <w:spacing w:beforeAutospacing="0" w:afterAutospacing="0" w:line="578" w:lineRule="exact"/>
        <w:jc w:val="both"/>
        <w:rPr>
          <w:rFonts w:eastAsia="黑体"/>
          <w:kern w:val="2"/>
          <w:sz w:val="32"/>
          <w:szCs w:val="32"/>
        </w:rPr>
      </w:pPr>
      <w:r>
        <w:rPr>
          <w:rFonts w:eastAsia="黑体"/>
          <w:kern w:val="2"/>
          <w:sz w:val="32"/>
          <w:szCs w:val="32"/>
        </w:rPr>
        <w:t xml:space="preserve">    </w:t>
      </w:r>
      <w:r>
        <w:rPr>
          <w:rFonts w:hint="eastAsia" w:eastAsia="黑体"/>
          <w:kern w:val="2"/>
          <w:sz w:val="32"/>
          <w:szCs w:val="32"/>
        </w:rPr>
        <w:t>三、收支预算总体情况</w:t>
      </w:r>
    </w:p>
    <w:p>
      <w:pPr>
        <w:pStyle w:val="5"/>
        <w:widowControl/>
        <w:shd w:val="clear" w:color="auto" w:fill="FFFFFF"/>
        <w:adjustRightInd w:val="0"/>
        <w:snapToGrid w:val="0"/>
        <w:spacing w:beforeAutospacing="0" w:afterAutospacing="0" w:line="578" w:lineRule="exact"/>
        <w:jc w:val="both"/>
        <w:rPr>
          <w:rFonts w:ascii="Times New Roman" w:hAnsi="Times New Roman" w:eastAsia="Times New Roman"/>
          <w:color w:val="000000"/>
          <w:sz w:val="32"/>
          <w:szCs w:val="32"/>
        </w:rPr>
      </w:pPr>
      <w:r>
        <w:rPr>
          <w:rFonts w:ascii="Times New Roman" w:hAnsi="Times New Roman" w:eastAsia="Times New Roman"/>
          <w:color w:val="000000"/>
          <w:sz w:val="32"/>
          <w:szCs w:val="32"/>
          <w:shd w:val="clear" w:color="auto" w:fill="FFFFFF"/>
        </w:rPr>
        <w:t xml:space="preserve">    201</w:t>
      </w:r>
      <w:r>
        <w:rPr>
          <w:rFonts w:hint="eastAsia" w:ascii="Times New Roman" w:hAnsi="Times New Roman"/>
          <w:color w:val="000000"/>
          <w:sz w:val="32"/>
          <w:szCs w:val="32"/>
          <w:shd w:val="clear" w:color="auto" w:fill="FFFFFF"/>
          <w:lang w:val="en-US" w:eastAsia="zh-CN"/>
        </w:rPr>
        <w:t>8</w:t>
      </w:r>
      <w:r>
        <w:rPr>
          <w:rFonts w:hint="eastAsia" w:ascii="宋体" w:hAnsi="宋体" w:cs="宋体"/>
          <w:color w:val="000000"/>
          <w:sz w:val="32"/>
          <w:szCs w:val="32"/>
          <w:shd w:val="clear" w:color="auto" w:fill="FFFFFF"/>
        </w:rPr>
        <w:t>年秦河乡人民政府收入预算总额为</w:t>
      </w:r>
      <w:r>
        <w:rPr>
          <w:rFonts w:ascii="Times New Roman" w:hAnsi="Times New Roman" w:eastAsia="Times New Roman"/>
          <w:color w:val="000000"/>
          <w:sz w:val="32"/>
          <w:szCs w:val="32"/>
          <w:shd w:val="clear" w:color="auto" w:fill="FFFFFF"/>
        </w:rPr>
        <w:t>3</w:t>
      </w:r>
      <w:r>
        <w:rPr>
          <w:rFonts w:hint="eastAsia" w:ascii="Times New Roman" w:hAnsi="Times New Roman"/>
          <w:color w:val="000000"/>
          <w:sz w:val="32"/>
          <w:szCs w:val="32"/>
          <w:shd w:val="clear" w:color="auto" w:fill="FFFFFF"/>
          <w:lang w:val="en-US" w:eastAsia="zh-CN"/>
        </w:rPr>
        <w:t>36.6769</w:t>
      </w:r>
      <w:r>
        <w:rPr>
          <w:rFonts w:hint="eastAsia" w:ascii="宋体" w:hAnsi="宋体" w:cs="宋体"/>
          <w:color w:val="000000"/>
          <w:sz w:val="32"/>
          <w:szCs w:val="32"/>
          <w:shd w:val="clear" w:color="auto" w:fill="FFFFFF"/>
        </w:rPr>
        <w:t>万元，其中：当年财政拨款收入</w:t>
      </w:r>
      <w:r>
        <w:rPr>
          <w:rFonts w:ascii="Times New Roman" w:hAnsi="Times New Roman" w:eastAsia="Times New Roman"/>
          <w:color w:val="000000"/>
          <w:sz w:val="32"/>
          <w:szCs w:val="32"/>
          <w:shd w:val="clear" w:color="auto" w:fill="FFFFFF"/>
        </w:rPr>
        <w:t>3</w:t>
      </w:r>
      <w:r>
        <w:rPr>
          <w:rFonts w:hint="eastAsia" w:ascii="Times New Roman" w:hAnsi="Times New Roman"/>
          <w:color w:val="000000"/>
          <w:sz w:val="32"/>
          <w:szCs w:val="32"/>
          <w:shd w:val="clear" w:color="auto" w:fill="FFFFFF"/>
          <w:lang w:val="en-US" w:eastAsia="zh-CN"/>
        </w:rPr>
        <w:t>36.6769</w:t>
      </w:r>
      <w:r>
        <w:rPr>
          <w:rFonts w:hint="eastAsia" w:ascii="宋体" w:hAnsi="宋体" w:cs="宋体"/>
          <w:color w:val="000000"/>
          <w:sz w:val="32"/>
          <w:szCs w:val="32"/>
          <w:shd w:val="clear" w:color="auto" w:fill="FFFFFF"/>
        </w:rPr>
        <w:t>万元，非税收入</w:t>
      </w:r>
      <w:r>
        <w:rPr>
          <w:rFonts w:ascii="Times New Roman" w:hAnsi="Times New Roman" w:eastAsia="Times New Roman"/>
          <w:color w:val="000000"/>
          <w:sz w:val="32"/>
          <w:szCs w:val="32"/>
          <w:shd w:val="clear" w:color="auto" w:fill="FFFFFF"/>
        </w:rPr>
        <w:t>1</w:t>
      </w:r>
      <w:r>
        <w:rPr>
          <w:rFonts w:hint="eastAsia" w:ascii="宋体" w:hAnsi="宋体" w:cs="宋体"/>
          <w:color w:val="000000"/>
          <w:sz w:val="32"/>
          <w:szCs w:val="32"/>
          <w:shd w:val="clear" w:color="auto" w:fill="FFFFFF"/>
        </w:rPr>
        <w:t>万元。相应安排支出预算</w:t>
      </w:r>
      <w:r>
        <w:rPr>
          <w:rFonts w:ascii="Times New Roman" w:hAnsi="Times New Roman" w:eastAsia="Times New Roman"/>
          <w:color w:val="000000"/>
          <w:sz w:val="32"/>
          <w:szCs w:val="32"/>
          <w:shd w:val="clear" w:color="auto" w:fill="FFFFFF"/>
        </w:rPr>
        <w:t>3</w:t>
      </w:r>
      <w:r>
        <w:rPr>
          <w:rFonts w:hint="eastAsia" w:ascii="Times New Roman" w:hAnsi="Times New Roman"/>
          <w:color w:val="000000"/>
          <w:sz w:val="32"/>
          <w:szCs w:val="32"/>
          <w:shd w:val="clear" w:color="auto" w:fill="FFFFFF"/>
          <w:lang w:val="en-US" w:eastAsia="zh-CN"/>
        </w:rPr>
        <w:t>36.6769</w:t>
      </w:r>
      <w:r>
        <w:rPr>
          <w:rFonts w:hint="eastAsia" w:ascii="宋体" w:hAnsi="宋体" w:cs="宋体"/>
          <w:color w:val="000000"/>
          <w:sz w:val="32"/>
          <w:szCs w:val="32"/>
          <w:shd w:val="clear" w:color="auto" w:fill="FFFFFF"/>
        </w:rPr>
        <w:t>万元，其中：一般公共服务</w:t>
      </w:r>
      <w:r>
        <w:rPr>
          <w:rFonts w:ascii="Times New Roman" w:hAnsi="Times New Roman" w:eastAsia="Times New Roman"/>
          <w:color w:val="000000"/>
          <w:sz w:val="32"/>
          <w:szCs w:val="32"/>
          <w:shd w:val="clear" w:color="auto" w:fill="FFFFFF"/>
        </w:rPr>
        <w:t>1</w:t>
      </w:r>
      <w:r>
        <w:rPr>
          <w:rFonts w:hint="eastAsia" w:ascii="Times New Roman" w:hAnsi="Times New Roman"/>
          <w:color w:val="000000"/>
          <w:sz w:val="32"/>
          <w:szCs w:val="32"/>
          <w:shd w:val="clear" w:color="auto" w:fill="FFFFFF"/>
          <w:lang w:val="en-US" w:eastAsia="zh-CN"/>
        </w:rPr>
        <w:t>61.6078</w:t>
      </w:r>
      <w:r>
        <w:rPr>
          <w:rFonts w:hint="eastAsia" w:ascii="宋体" w:hAnsi="宋体" w:cs="宋体"/>
          <w:color w:val="000000"/>
          <w:sz w:val="32"/>
          <w:szCs w:val="32"/>
          <w:shd w:val="clear" w:color="auto" w:fill="FFFFFF"/>
        </w:rPr>
        <w:t>万元，公共安全</w:t>
      </w:r>
      <w:r>
        <w:rPr>
          <w:rFonts w:ascii="Times New Roman" w:hAnsi="Times New Roman" w:eastAsia="Times New Roman"/>
          <w:color w:val="000000"/>
          <w:sz w:val="32"/>
          <w:szCs w:val="32"/>
          <w:shd w:val="clear" w:color="auto" w:fill="FFFFFF"/>
        </w:rPr>
        <w:t>4</w:t>
      </w:r>
      <w:r>
        <w:rPr>
          <w:rFonts w:hint="eastAsia" w:ascii="宋体" w:hAnsi="宋体" w:cs="宋体"/>
          <w:color w:val="000000"/>
          <w:sz w:val="32"/>
          <w:szCs w:val="32"/>
          <w:shd w:val="clear" w:color="auto" w:fill="FFFFFF"/>
        </w:rPr>
        <w:t>万元，社会保障和就业</w:t>
      </w:r>
      <w:r>
        <w:rPr>
          <w:rFonts w:ascii="Times New Roman" w:hAnsi="Times New Roman" w:eastAsia="Times New Roman"/>
          <w:color w:val="000000"/>
          <w:sz w:val="32"/>
          <w:szCs w:val="32"/>
          <w:shd w:val="clear" w:color="auto" w:fill="FFFFFF"/>
        </w:rPr>
        <w:t>5</w:t>
      </w:r>
      <w:r>
        <w:rPr>
          <w:rFonts w:hint="eastAsia" w:ascii="Times New Roman" w:hAnsi="Times New Roman"/>
          <w:color w:val="000000"/>
          <w:sz w:val="32"/>
          <w:szCs w:val="32"/>
          <w:shd w:val="clear" w:color="auto" w:fill="FFFFFF"/>
          <w:lang w:val="en-US" w:eastAsia="zh-CN"/>
        </w:rPr>
        <w:t>4.123</w:t>
      </w:r>
      <w:r>
        <w:rPr>
          <w:rFonts w:hint="eastAsia" w:ascii="宋体" w:hAnsi="宋体" w:cs="宋体"/>
          <w:color w:val="000000"/>
          <w:sz w:val="32"/>
          <w:szCs w:val="32"/>
          <w:shd w:val="clear" w:color="auto" w:fill="FFFFFF"/>
        </w:rPr>
        <w:t>万元，医疗卫生与计划生育</w:t>
      </w:r>
      <w:r>
        <w:rPr>
          <w:rFonts w:hint="eastAsia" w:ascii="Times New Roman" w:hAnsi="Times New Roman"/>
          <w:color w:val="000000"/>
          <w:sz w:val="32"/>
          <w:szCs w:val="32"/>
          <w:shd w:val="clear" w:color="auto" w:fill="FFFFFF"/>
          <w:lang w:val="en-US" w:eastAsia="zh-CN"/>
        </w:rPr>
        <w:t>7.0215</w:t>
      </w:r>
      <w:r>
        <w:rPr>
          <w:rFonts w:hint="eastAsia" w:ascii="宋体" w:hAnsi="宋体" w:cs="宋体"/>
          <w:color w:val="000000"/>
          <w:sz w:val="32"/>
          <w:szCs w:val="32"/>
          <w:shd w:val="clear" w:color="auto" w:fill="FFFFFF"/>
        </w:rPr>
        <w:t>万元，农林水</w:t>
      </w:r>
      <w:r>
        <w:rPr>
          <w:rFonts w:ascii="Times New Roman" w:hAnsi="Times New Roman" w:eastAsia="Times New Roman"/>
          <w:color w:val="000000"/>
          <w:sz w:val="32"/>
          <w:szCs w:val="32"/>
          <w:shd w:val="clear" w:color="auto" w:fill="FFFFFF"/>
        </w:rPr>
        <w:t>9</w:t>
      </w:r>
      <w:r>
        <w:rPr>
          <w:rFonts w:hint="eastAsia" w:ascii="Times New Roman" w:hAnsi="Times New Roman"/>
          <w:color w:val="000000"/>
          <w:sz w:val="32"/>
          <w:szCs w:val="32"/>
          <w:shd w:val="clear" w:color="auto" w:fill="FFFFFF"/>
          <w:lang w:val="en-US" w:eastAsia="zh-CN"/>
        </w:rPr>
        <w:t>2.464</w:t>
      </w:r>
      <w:r>
        <w:rPr>
          <w:rFonts w:hint="eastAsia" w:ascii="宋体" w:hAnsi="宋体" w:cs="宋体"/>
          <w:color w:val="000000"/>
          <w:sz w:val="32"/>
          <w:szCs w:val="32"/>
          <w:shd w:val="clear" w:color="auto" w:fill="FFFFFF"/>
        </w:rPr>
        <w:t>万元，住房保障</w:t>
      </w:r>
      <w:r>
        <w:rPr>
          <w:rFonts w:ascii="Times New Roman" w:hAnsi="Times New Roman" w:eastAsia="Times New Roman"/>
          <w:color w:val="000000"/>
          <w:sz w:val="32"/>
          <w:szCs w:val="32"/>
          <w:shd w:val="clear" w:color="auto" w:fill="FFFFFF"/>
        </w:rPr>
        <w:t>1</w:t>
      </w:r>
      <w:r>
        <w:rPr>
          <w:rFonts w:hint="eastAsia" w:ascii="Times New Roman" w:hAnsi="Times New Roman"/>
          <w:color w:val="000000"/>
          <w:sz w:val="32"/>
          <w:szCs w:val="32"/>
          <w:shd w:val="clear" w:color="auto" w:fill="FFFFFF"/>
          <w:lang w:val="en-US" w:eastAsia="zh-CN"/>
        </w:rPr>
        <w:t>2.4606</w:t>
      </w:r>
      <w:r>
        <w:rPr>
          <w:rFonts w:hint="eastAsia" w:ascii="宋体" w:hAnsi="宋体" w:cs="宋体"/>
          <w:color w:val="000000"/>
          <w:sz w:val="32"/>
          <w:szCs w:val="32"/>
          <w:shd w:val="clear" w:color="auto" w:fill="FFFFFF"/>
        </w:rPr>
        <w:t>万元，转移性</w:t>
      </w:r>
      <w:r>
        <w:rPr>
          <w:rFonts w:ascii="Times New Roman" w:hAnsi="Times New Roman" w:eastAsia="Times New Roman"/>
          <w:color w:val="000000"/>
          <w:sz w:val="32"/>
          <w:szCs w:val="32"/>
          <w:shd w:val="clear" w:color="auto" w:fill="FFFFFF"/>
        </w:rPr>
        <w:t>1</w:t>
      </w:r>
      <w:r>
        <w:rPr>
          <w:rFonts w:hint="eastAsia" w:ascii="宋体" w:hAnsi="宋体" w:cs="宋体"/>
          <w:color w:val="000000"/>
          <w:sz w:val="32"/>
          <w:szCs w:val="32"/>
          <w:shd w:val="clear" w:color="auto" w:fill="FFFFFF"/>
        </w:rPr>
        <w:t>万元。</w:t>
      </w:r>
      <w:r>
        <w:rPr>
          <w:rFonts w:ascii="Times New Roman" w:hAnsi="Times New Roman" w:eastAsia="Times New Roman"/>
          <w:color w:val="000000"/>
          <w:sz w:val="32"/>
          <w:szCs w:val="32"/>
          <w:shd w:val="clear" w:color="auto" w:fill="FFFFFF"/>
        </w:rPr>
        <w:t xml:space="preserve">   </w:t>
      </w:r>
    </w:p>
    <w:p>
      <w:pPr>
        <w:pStyle w:val="5"/>
        <w:widowControl/>
        <w:shd w:val="clear" w:color="auto" w:fill="FFFFFF"/>
        <w:adjustRightInd w:val="0"/>
        <w:snapToGrid w:val="0"/>
        <w:spacing w:beforeAutospacing="0" w:afterAutospacing="0" w:line="578" w:lineRule="exact"/>
        <w:jc w:val="both"/>
        <w:rPr>
          <w:rFonts w:ascii="Times New Roman" w:hAnsi="Times New Roman" w:eastAsia="Times New Roman"/>
          <w:color w:val="000000"/>
          <w:sz w:val="32"/>
          <w:szCs w:val="32"/>
        </w:rPr>
      </w:pPr>
      <w:r>
        <w:rPr>
          <w:rFonts w:ascii="Times New Roman" w:hAnsi="Times New Roman" w:eastAsia="Times New Roman"/>
          <w:color w:val="000000"/>
          <w:sz w:val="32"/>
          <w:szCs w:val="32"/>
          <w:shd w:val="clear" w:color="auto" w:fill="FFFFFF"/>
        </w:rPr>
        <w:t xml:space="preserve">    </w:t>
      </w:r>
      <w:r>
        <w:rPr>
          <w:rFonts w:hint="eastAsia" w:eastAsia="黑体"/>
          <w:kern w:val="2"/>
          <w:sz w:val="32"/>
          <w:szCs w:val="32"/>
        </w:rPr>
        <w:t>四、支出预算安排情况</w:t>
      </w:r>
    </w:p>
    <w:p>
      <w:pPr>
        <w:pStyle w:val="5"/>
        <w:widowControl/>
        <w:shd w:val="clear" w:color="auto" w:fill="FFFFFF"/>
        <w:adjustRightInd w:val="0"/>
        <w:snapToGrid w:val="0"/>
        <w:spacing w:beforeAutospacing="0" w:afterAutospacing="0" w:line="578" w:lineRule="exact"/>
        <w:jc w:val="both"/>
        <w:rPr>
          <w:rFonts w:ascii="Times New Roman" w:hAnsi="Times New Roman" w:eastAsia="Times New Roman"/>
          <w:color w:val="000000"/>
          <w:sz w:val="32"/>
          <w:szCs w:val="32"/>
        </w:rPr>
      </w:pPr>
      <w:r>
        <w:rPr>
          <w:rFonts w:ascii="Times New Roman" w:hAnsi="Times New Roman" w:eastAsia="Times New Roman"/>
          <w:color w:val="000000"/>
          <w:sz w:val="32"/>
          <w:szCs w:val="32"/>
          <w:shd w:val="clear" w:color="auto" w:fill="FFFFFF"/>
        </w:rPr>
        <w:t xml:space="preserve">    </w:t>
      </w:r>
      <w:r>
        <w:rPr>
          <w:rFonts w:hint="eastAsia" w:ascii="宋体" w:hAnsi="宋体" w:cs="宋体"/>
          <w:color w:val="000000"/>
          <w:sz w:val="32"/>
          <w:szCs w:val="32"/>
          <w:shd w:val="clear" w:color="auto" w:fill="FFFFFF"/>
        </w:rPr>
        <w:t>秦河乡人民政府财政</w:t>
      </w:r>
      <w:r>
        <w:rPr>
          <w:rFonts w:ascii="??????" w:eastAsia="Times New Roman"/>
          <w:sz w:val="32"/>
          <w:szCs w:val="32"/>
        </w:rPr>
        <w:t>预算安排支出主要用于保障该部门机构正常运转、完成日常工作任务</w:t>
      </w:r>
      <w:r>
        <w:rPr>
          <w:rFonts w:hint="eastAsia" w:ascii="宋体" w:hAnsi="宋体" w:cs="宋体"/>
          <w:color w:val="000000"/>
          <w:sz w:val="32"/>
          <w:szCs w:val="32"/>
          <w:shd w:val="clear" w:color="auto" w:fill="FFFFFF"/>
        </w:rPr>
        <w:t>以及承担乡镇事业发展相关工作。　　</w:t>
      </w:r>
      <w:r>
        <w:rPr>
          <w:rFonts w:ascii="Times New Roman" w:hAnsi="Times New Roman" w:eastAsia="Times New Roman"/>
          <w:color w:val="000000"/>
          <w:sz w:val="32"/>
          <w:szCs w:val="32"/>
          <w:shd w:val="clear" w:color="auto" w:fill="FFFFFF"/>
        </w:rPr>
        <w:t> </w:t>
      </w:r>
    </w:p>
    <w:p>
      <w:pPr>
        <w:adjustRightInd w:val="0"/>
        <w:snapToGrid w:val="0"/>
        <w:spacing w:line="578" w:lineRule="exact"/>
        <w:ind w:firstLine="640" w:firstLineChars="200"/>
        <w:rPr>
          <w:rFonts w:ascii="??????" w:eastAsia="Times New Roman"/>
          <w:sz w:val="32"/>
          <w:szCs w:val="32"/>
        </w:rPr>
      </w:pPr>
      <w:r>
        <w:rPr>
          <w:rFonts w:ascii="??????" w:eastAsia="Times New Roman"/>
          <w:sz w:val="32"/>
          <w:szCs w:val="32"/>
        </w:rPr>
        <w:t>基本支出，是用于保障政府机关、下属事业单位等机构正常运转的日常支出，包括基本工资、津贴补贴等人员经费以及办公费、印刷费、水电费、办公设备购置等日常公用经费。</w:t>
      </w:r>
    </w:p>
    <w:p>
      <w:pPr>
        <w:adjustRightInd w:val="0"/>
        <w:snapToGrid w:val="0"/>
        <w:spacing w:line="578" w:lineRule="exact"/>
        <w:ind w:firstLine="640" w:firstLineChars="200"/>
        <w:rPr>
          <w:rFonts w:ascii="??????" w:eastAsia="Times New Roman"/>
          <w:sz w:val="32"/>
          <w:szCs w:val="32"/>
        </w:rPr>
      </w:pPr>
      <w:r>
        <w:rPr>
          <w:rFonts w:ascii="??????" w:eastAsia="Times New Roman"/>
          <w:sz w:val="32"/>
          <w:szCs w:val="32"/>
        </w:rPr>
        <w:t>项目支出，是用于保障政府机关、下属事业单位等机构为完成特定的行政工作任务或事业发展目标，用于专项业务工作的经费支出。</w:t>
      </w:r>
    </w:p>
    <w:p>
      <w:pPr>
        <w:adjustRightInd w:val="0"/>
        <w:snapToGrid w:val="0"/>
        <w:spacing w:line="578" w:lineRule="exact"/>
        <w:ind w:firstLine="640" w:firstLineChars="200"/>
        <w:rPr>
          <w:rFonts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按支出功能分类主要用于以下方面</w:t>
      </w:r>
      <w:r>
        <w:rPr>
          <w:rFonts w:ascii="方正楷体简体" w:hAnsi="方正楷体简体" w:eastAsia="方正楷体简体" w:cs="方正楷体简体"/>
          <w:sz w:val="32"/>
          <w:szCs w:val="32"/>
        </w:rPr>
        <w:t>:</w:t>
      </w:r>
    </w:p>
    <w:p>
      <w:pPr>
        <w:pStyle w:val="5"/>
        <w:widowControl/>
        <w:shd w:val="clear" w:color="auto" w:fill="FFFFFF"/>
        <w:adjustRightInd w:val="0"/>
        <w:snapToGrid w:val="0"/>
        <w:spacing w:beforeAutospacing="0" w:afterAutospacing="0" w:line="578" w:lineRule="exact"/>
        <w:ind w:firstLine="640"/>
        <w:jc w:val="both"/>
        <w:rPr>
          <w:rFonts w:ascii="Times New Roman" w:hAnsi="Times New Roman" w:eastAsia="Times New Roman"/>
          <w:color w:val="000000"/>
          <w:sz w:val="32"/>
          <w:szCs w:val="32"/>
        </w:rPr>
      </w:pPr>
      <w:r>
        <w:rPr>
          <w:rFonts w:hint="eastAsia" w:ascii="宋体" w:hAnsi="宋体" w:cs="宋体"/>
          <w:color w:val="000000"/>
          <w:sz w:val="32"/>
          <w:szCs w:val="32"/>
          <w:shd w:val="clear" w:color="auto" w:fill="FFFFFF"/>
        </w:rPr>
        <w:t>（一）一般公共服务支出，</w:t>
      </w:r>
      <w:r>
        <w:rPr>
          <w:rFonts w:ascii="??????" w:eastAsia="Times New Roman"/>
          <w:sz w:val="32"/>
          <w:szCs w:val="32"/>
        </w:rPr>
        <w:t>主要用于机关及下属事业单位人员工资、日常运转以及为完成特定行政工作任务和事业发展目标而安排的年度项目支出，主要包括：（</w:t>
      </w:r>
      <w:r>
        <w:rPr>
          <w:rFonts w:hint="eastAsia" w:ascii="宋体" w:hAnsi="宋体" w:cs="宋体"/>
          <w:color w:val="000000"/>
          <w:sz w:val="32"/>
          <w:szCs w:val="32"/>
          <w:shd w:val="clear" w:color="auto" w:fill="FFFFFF"/>
        </w:rPr>
        <w:t>主要用于乡人大事务，政府办公室和其他政府办公室相关事务行政运行支出的工资福利支出，商品和服务支出以及对个人和家庭的补助支出和项目支出</w:t>
      </w:r>
      <w:r>
        <w:rPr>
          <w:rFonts w:ascii="??????" w:eastAsia="Times New Roman"/>
          <w:sz w:val="32"/>
          <w:szCs w:val="32"/>
        </w:rPr>
        <w:t>）</w:t>
      </w:r>
    </w:p>
    <w:p>
      <w:pPr>
        <w:pStyle w:val="5"/>
        <w:widowControl/>
        <w:shd w:val="clear" w:color="auto" w:fill="FFFFFF"/>
        <w:adjustRightInd w:val="0"/>
        <w:snapToGrid w:val="0"/>
        <w:spacing w:beforeAutospacing="0" w:afterAutospacing="0" w:line="578" w:lineRule="exact"/>
        <w:jc w:val="both"/>
        <w:rPr>
          <w:rFonts w:ascii="??????" w:eastAsia="Times New Roman"/>
          <w:sz w:val="32"/>
          <w:szCs w:val="32"/>
        </w:rPr>
      </w:pPr>
      <w:r>
        <w:rPr>
          <w:rFonts w:ascii="Times New Roman" w:hAnsi="Times New Roman" w:eastAsia="Times New Roman"/>
          <w:color w:val="000000"/>
          <w:sz w:val="32"/>
          <w:szCs w:val="32"/>
          <w:shd w:val="clear" w:color="auto" w:fill="FFFFFF"/>
        </w:rPr>
        <w:t xml:space="preserve">    </w:t>
      </w:r>
      <w:r>
        <w:rPr>
          <w:rFonts w:ascii="??????" w:eastAsia="Times New Roman"/>
          <w:sz w:val="32"/>
          <w:szCs w:val="32"/>
        </w:rPr>
        <w:t>（二）社会保障和就业，主要用于机关及下属事业单位离退休人员支出。</w:t>
      </w:r>
    </w:p>
    <w:p>
      <w:pPr>
        <w:adjustRightInd w:val="0"/>
        <w:snapToGrid w:val="0"/>
        <w:spacing w:line="578" w:lineRule="exact"/>
        <w:ind w:firstLine="640" w:firstLineChars="200"/>
        <w:rPr>
          <w:rFonts w:ascii="??????" w:eastAsia="Times New Roman"/>
          <w:sz w:val="32"/>
          <w:szCs w:val="32"/>
        </w:rPr>
      </w:pPr>
      <w:r>
        <w:rPr>
          <w:rFonts w:ascii="??????" w:eastAsia="Times New Roman"/>
          <w:sz w:val="32"/>
          <w:szCs w:val="32"/>
        </w:rPr>
        <w:t>（三）医疗卫生，主要用于机关及下属事业单位按照规定标准为职工缴纳的基本医疗保险及公务员医疗补助等支出。</w:t>
      </w:r>
    </w:p>
    <w:p>
      <w:pPr>
        <w:adjustRightInd w:val="0"/>
        <w:snapToGrid w:val="0"/>
        <w:spacing w:line="578" w:lineRule="exact"/>
        <w:ind w:firstLine="640" w:firstLineChars="200"/>
        <w:rPr>
          <w:rFonts w:ascii="??????" w:eastAsia="Times New Roman"/>
          <w:sz w:val="32"/>
          <w:szCs w:val="32"/>
        </w:rPr>
      </w:pPr>
      <w:r>
        <w:rPr>
          <w:rFonts w:ascii="??????" w:eastAsia="Times New Roman"/>
          <w:sz w:val="32"/>
          <w:szCs w:val="32"/>
        </w:rPr>
        <w:t>（四）住房保障支出，用于机关及下属事业单位按照规定标准为职工缴纳住房公积金等支出。</w:t>
      </w:r>
    </w:p>
    <w:p>
      <w:pPr>
        <w:adjustRightInd w:val="0"/>
        <w:snapToGrid w:val="0"/>
        <w:spacing w:line="578" w:lineRule="exact"/>
        <w:ind w:firstLine="640" w:firstLineChars="200"/>
        <w:rPr>
          <w:rFonts w:ascii="Times New Roman" w:hAnsi="Times New Roman" w:eastAsia="Times New Roman"/>
          <w:color w:val="000000"/>
          <w:sz w:val="32"/>
          <w:szCs w:val="32"/>
          <w:shd w:val="clear" w:color="auto" w:fill="FFFFFF"/>
        </w:rPr>
      </w:pPr>
      <w:r>
        <w:rPr>
          <w:rFonts w:ascii="??????" w:eastAsia="Times New Roman"/>
          <w:sz w:val="32"/>
          <w:szCs w:val="32"/>
        </w:rPr>
        <w:t>（五）</w:t>
      </w:r>
      <w:r>
        <w:rPr>
          <w:rFonts w:hint="eastAsia" w:ascii="宋体" w:hAnsi="宋体" w:cs="宋体"/>
          <w:color w:val="000000"/>
          <w:sz w:val="32"/>
          <w:szCs w:val="32"/>
          <w:shd w:val="clear" w:color="auto" w:fill="FFFFFF"/>
        </w:rPr>
        <w:t>公共安全支出，主要用于道路交通管理支出。</w:t>
      </w:r>
    </w:p>
    <w:p>
      <w:pPr>
        <w:adjustRightInd w:val="0"/>
        <w:snapToGrid w:val="0"/>
        <w:spacing w:line="578" w:lineRule="exact"/>
        <w:ind w:firstLine="640" w:firstLineChars="200"/>
        <w:rPr>
          <w:rFonts w:ascii="??????" w:eastAsia="Times New Roman"/>
          <w:sz w:val="32"/>
          <w:szCs w:val="32"/>
        </w:rPr>
      </w:pPr>
      <w:r>
        <w:rPr>
          <w:rFonts w:hint="eastAsia" w:ascii="宋体" w:hAnsi="宋体" w:cs="宋体"/>
          <w:color w:val="000000"/>
          <w:sz w:val="32"/>
          <w:szCs w:val="32"/>
          <w:shd w:val="clear" w:color="auto" w:fill="FFFFFF"/>
        </w:rPr>
        <w:t>（六）农林水事务支出，主要用于对高校毕业生到基层任职和对村民委员会和村党支部的补助支出。</w:t>
      </w:r>
    </w:p>
    <w:p>
      <w:pPr>
        <w:adjustRightInd w:val="0"/>
        <w:snapToGrid w:val="0"/>
        <w:spacing w:line="578" w:lineRule="exact"/>
        <w:ind w:firstLine="640" w:firstLineChars="200"/>
        <w:rPr>
          <w:rFonts w:ascii="方正楷体简体" w:hAnsi="方正楷体简体" w:eastAsia="方正楷体简体" w:cs="方正楷体简体"/>
          <w:sz w:val="32"/>
          <w:szCs w:val="32"/>
        </w:rPr>
      </w:pPr>
      <w:r>
        <w:rPr>
          <w:rFonts w:ascii="方正楷体简体" w:hAnsi="方正楷体简体" w:eastAsia="方正楷体简体" w:cs="方正楷体简体"/>
          <w:sz w:val="32"/>
          <w:szCs w:val="32"/>
        </w:rPr>
        <w:t> </w:t>
      </w:r>
      <w:r>
        <w:rPr>
          <w:rFonts w:hint="eastAsia" w:ascii="方正楷体简体" w:hAnsi="方正楷体简体" w:eastAsia="方正楷体简体" w:cs="方正楷体简体"/>
          <w:sz w:val="32"/>
          <w:szCs w:val="32"/>
        </w:rPr>
        <w:t>按经济分类主要用于以下方面</w:t>
      </w:r>
      <w:r>
        <w:rPr>
          <w:rFonts w:ascii="方正楷体简体" w:hAnsi="方正楷体简体" w:eastAsia="方正楷体简体" w:cs="方正楷体简体"/>
          <w:sz w:val="32"/>
          <w:szCs w:val="32"/>
        </w:rPr>
        <w:t>:</w:t>
      </w:r>
    </w:p>
    <w:p>
      <w:pPr>
        <w:adjustRightInd w:val="0"/>
        <w:snapToGrid w:val="0"/>
        <w:spacing w:line="578" w:lineRule="exact"/>
        <w:ind w:firstLine="640" w:firstLineChars="200"/>
        <w:rPr>
          <w:rFonts w:ascii="??????" w:eastAsia="Times New Roman"/>
          <w:sz w:val="32"/>
          <w:szCs w:val="32"/>
        </w:rPr>
      </w:pPr>
      <w:r>
        <w:rPr>
          <w:rFonts w:ascii="??????" w:eastAsia="Times New Roman"/>
          <w:sz w:val="32"/>
          <w:szCs w:val="32"/>
        </w:rPr>
        <w:t>（一）工资福利支出。主要用于：职工基本工资、津贴补贴、养老保险和医疗保险缴费。</w:t>
      </w:r>
    </w:p>
    <w:p>
      <w:pPr>
        <w:adjustRightInd w:val="0"/>
        <w:snapToGrid w:val="0"/>
        <w:spacing w:line="578" w:lineRule="exact"/>
        <w:ind w:firstLine="640" w:firstLineChars="200"/>
        <w:rPr>
          <w:rFonts w:ascii="??????" w:eastAsia="Times New Roman"/>
          <w:sz w:val="32"/>
          <w:szCs w:val="32"/>
        </w:rPr>
      </w:pPr>
      <w:r>
        <w:rPr>
          <w:rFonts w:ascii="??????" w:eastAsia="Times New Roman"/>
          <w:sz w:val="32"/>
          <w:szCs w:val="32"/>
        </w:rPr>
        <w:t>（二）商品和服务支出。主要用于：日常办公、差旅、会议、印刷、电费、维修（护）、公务接待、劳务等支出。</w:t>
      </w:r>
    </w:p>
    <w:p>
      <w:pPr>
        <w:adjustRightInd w:val="0"/>
        <w:snapToGrid w:val="0"/>
        <w:spacing w:line="578" w:lineRule="exact"/>
        <w:ind w:firstLine="640" w:firstLineChars="200"/>
        <w:rPr>
          <w:rFonts w:ascii="??????" w:eastAsia="Times New Roman"/>
          <w:sz w:val="32"/>
          <w:szCs w:val="32"/>
        </w:rPr>
      </w:pPr>
      <w:r>
        <w:rPr>
          <w:rFonts w:ascii="??????" w:eastAsia="Times New Roman"/>
          <w:sz w:val="32"/>
          <w:szCs w:val="32"/>
        </w:rPr>
        <w:t>（三）对个人和家庭的补助。主要用于：为职工缴纳住房公积金等支出。</w:t>
      </w:r>
    </w:p>
    <w:p>
      <w:pPr>
        <w:ind w:left="630"/>
        <w:rPr>
          <w:rFonts w:eastAsia="黑体"/>
          <w:sz w:val="32"/>
          <w:szCs w:val="32"/>
        </w:rPr>
      </w:pPr>
      <w:r>
        <w:rPr>
          <w:rFonts w:hint="eastAsia" w:eastAsia="黑体"/>
          <w:sz w:val="32"/>
          <w:szCs w:val="32"/>
        </w:rPr>
        <w:t>五、部门预算表（详见万源市</w:t>
      </w:r>
      <w:r>
        <w:rPr>
          <w:rFonts w:eastAsia="黑体"/>
          <w:sz w:val="32"/>
          <w:szCs w:val="32"/>
        </w:rPr>
        <w:t>201</w:t>
      </w:r>
      <w:r>
        <w:rPr>
          <w:rFonts w:hint="eastAsia" w:eastAsia="黑体"/>
          <w:sz w:val="32"/>
          <w:szCs w:val="32"/>
          <w:lang w:val="en-US" w:eastAsia="zh-CN"/>
        </w:rPr>
        <w:t>8</w:t>
      </w:r>
      <w:bookmarkStart w:id="0" w:name="_GoBack"/>
      <w:bookmarkEnd w:id="0"/>
      <w:r>
        <w:rPr>
          <w:rFonts w:hint="eastAsia" w:eastAsia="黑体"/>
          <w:sz w:val="32"/>
          <w:szCs w:val="32"/>
        </w:rPr>
        <w:t>年部门预算公开表）</w:t>
      </w:r>
    </w:p>
    <w:p>
      <w:pPr>
        <w:pStyle w:val="5"/>
        <w:widowControl/>
        <w:shd w:val="clear" w:color="auto" w:fill="FFFFFF"/>
        <w:adjustRightInd w:val="0"/>
        <w:snapToGrid w:val="0"/>
        <w:spacing w:beforeAutospacing="0" w:afterAutospacing="0" w:line="578" w:lineRule="exact"/>
        <w:jc w:val="both"/>
        <w:rPr>
          <w:rFonts w:ascii="Times New Roman" w:hAnsi="Times New Roman" w:eastAsia="Times New Roman"/>
          <w:color w:val="000000"/>
          <w:sz w:val="32"/>
          <w:szCs w:val="32"/>
        </w:rPr>
      </w:pPr>
    </w:p>
    <w:p>
      <w:pPr>
        <w:pStyle w:val="5"/>
        <w:widowControl/>
        <w:shd w:val="clear" w:color="auto" w:fill="FFFFFF"/>
        <w:adjustRightInd w:val="0"/>
        <w:snapToGrid w:val="0"/>
        <w:spacing w:beforeAutospacing="0" w:afterAutospacing="0" w:line="578" w:lineRule="exact"/>
        <w:jc w:val="both"/>
        <w:rPr>
          <w:rFonts w:ascii="Times New Roman" w:hAnsi="Times New Roman" w:eastAsia="Times New Roman"/>
          <w:color w:val="000000"/>
          <w:sz w:val="32"/>
          <w:szCs w:val="32"/>
        </w:rPr>
      </w:pPr>
      <w:r>
        <w:rPr>
          <w:rFonts w:ascii="Times New Roman" w:hAnsi="Times New Roman" w:eastAsia="Times New Roman"/>
          <w:color w:val="000000"/>
          <w:sz w:val="32"/>
          <w:szCs w:val="32"/>
          <w:shd w:val="clear" w:color="auto" w:fill="FFFFFF"/>
        </w:rPr>
        <w:t xml:space="preserve">    </w:t>
      </w:r>
    </w:p>
    <w:p>
      <w:pPr>
        <w:pStyle w:val="5"/>
        <w:widowControl/>
        <w:shd w:val="clear" w:color="auto" w:fill="FFFFFF"/>
        <w:adjustRightInd w:val="0"/>
        <w:snapToGrid w:val="0"/>
        <w:spacing w:beforeAutospacing="0" w:afterAutospacing="0" w:line="578" w:lineRule="exact"/>
        <w:jc w:val="both"/>
        <w:rPr>
          <w:rFonts w:ascii="Times New Roman" w:hAnsi="Times New Roman" w:eastAsia="Times New Roman"/>
          <w:color w:val="000000"/>
          <w:sz w:val="32"/>
          <w:szCs w:val="32"/>
        </w:rPr>
      </w:pPr>
      <w:r>
        <w:rPr>
          <w:rFonts w:ascii="Times New Roman" w:hAnsi="Times New Roman" w:eastAsia="Times New Roman"/>
          <w:color w:val="000000"/>
          <w:sz w:val="32"/>
          <w:szCs w:val="32"/>
          <w:shd w:val="clear" w:color="auto" w:fill="FFFFFF"/>
        </w:rPr>
        <w:t> </w:t>
      </w:r>
    </w:p>
    <w:p>
      <w:pPr>
        <w:pStyle w:val="5"/>
        <w:widowControl/>
        <w:shd w:val="clear" w:color="auto" w:fill="FFFFFF"/>
        <w:adjustRightInd w:val="0"/>
        <w:snapToGrid w:val="0"/>
        <w:spacing w:beforeAutospacing="0" w:afterAutospacing="0" w:line="578" w:lineRule="exact"/>
        <w:jc w:val="both"/>
        <w:rPr>
          <w:rFonts w:ascii="Times New Roman" w:hAnsi="Times New Roman" w:eastAsia="Times New Roman"/>
          <w:color w:val="000000"/>
          <w:sz w:val="32"/>
          <w:szCs w:val="32"/>
        </w:rPr>
      </w:pPr>
      <w:r>
        <w:rPr>
          <w:rFonts w:ascii="Times New Roman" w:hAnsi="Times New Roman" w:eastAsia="Times New Roman"/>
          <w:color w:val="000000"/>
          <w:sz w:val="32"/>
          <w:szCs w:val="32"/>
          <w:shd w:val="clear" w:color="auto" w:fill="FFFFFF"/>
        </w:rPr>
        <w:t> </w:t>
      </w:r>
    </w:p>
    <w:p>
      <w:pPr>
        <w:pStyle w:val="5"/>
        <w:widowControl/>
        <w:shd w:val="clear" w:color="auto" w:fill="FFFFFF"/>
        <w:adjustRightInd w:val="0"/>
        <w:snapToGrid w:val="0"/>
        <w:spacing w:beforeAutospacing="0" w:afterAutospacing="0" w:line="578" w:lineRule="exact"/>
        <w:jc w:val="both"/>
        <w:rPr>
          <w:rFonts w:ascii="Times New Roman" w:hAnsi="Times New Roman" w:eastAsia="Times New Roman"/>
          <w:color w:val="000000"/>
          <w:sz w:val="32"/>
          <w:szCs w:val="32"/>
        </w:rPr>
      </w:pPr>
      <w:r>
        <w:rPr>
          <w:rFonts w:ascii="Times New Roman" w:hAnsi="Times New Roman" w:eastAsia="Times New Roman"/>
          <w:color w:val="000000"/>
          <w:sz w:val="32"/>
          <w:szCs w:val="32"/>
          <w:shd w:val="clear" w:color="auto" w:fill="FFFFFF"/>
        </w:rPr>
        <w:t xml:space="preserve">                                   </w:t>
      </w:r>
      <w:r>
        <w:rPr>
          <w:rFonts w:hint="eastAsia" w:ascii="宋体" w:hAnsi="宋体" w:cs="宋体"/>
          <w:color w:val="000000"/>
          <w:sz w:val="32"/>
          <w:szCs w:val="32"/>
          <w:shd w:val="clear" w:color="auto" w:fill="FFFFFF"/>
        </w:rPr>
        <w:t>万源市秦河乡人民政府</w:t>
      </w:r>
      <w:r>
        <w:rPr>
          <w:rFonts w:ascii="Times New Roman" w:hAnsi="Times New Roman" w:eastAsia="Times New Roman"/>
          <w:color w:val="000000"/>
          <w:sz w:val="32"/>
          <w:szCs w:val="32"/>
          <w:shd w:val="clear" w:color="auto" w:fill="FFFFFF"/>
        </w:rPr>
        <w:t xml:space="preserve">       </w:t>
      </w:r>
    </w:p>
    <w:p>
      <w:pPr>
        <w:pStyle w:val="5"/>
        <w:widowControl/>
        <w:shd w:val="clear" w:color="auto" w:fill="FFFFFF"/>
        <w:adjustRightInd w:val="0"/>
        <w:snapToGrid w:val="0"/>
        <w:spacing w:beforeAutospacing="0" w:afterAutospacing="0" w:line="578" w:lineRule="exact"/>
        <w:jc w:val="both"/>
        <w:rPr>
          <w:rFonts w:ascii="宋体" w:cs="宋体"/>
          <w:b/>
          <w:color w:val="FF0000"/>
          <w:sz w:val="33"/>
          <w:szCs w:val="33"/>
          <w:shd w:val="clear" w:color="auto" w:fill="FFFFFF"/>
        </w:rPr>
      </w:pPr>
      <w:r>
        <w:rPr>
          <w:rFonts w:ascii="Times New Roman" w:hAnsi="Times New Roman" w:eastAsia="Times New Roman"/>
          <w:color w:val="000000"/>
          <w:sz w:val="32"/>
          <w:szCs w:val="32"/>
          <w:shd w:val="clear" w:color="auto" w:fill="FFFFFF"/>
        </w:rPr>
        <w:t>                                           201</w:t>
      </w:r>
      <w:r>
        <w:rPr>
          <w:rFonts w:hint="eastAsia" w:ascii="Times New Roman" w:hAnsi="Times New Roman"/>
          <w:color w:val="000000"/>
          <w:sz w:val="32"/>
          <w:szCs w:val="32"/>
          <w:shd w:val="clear" w:color="auto" w:fill="FFFFFF"/>
          <w:lang w:val="en-US" w:eastAsia="zh-CN"/>
        </w:rPr>
        <w:t>8</w:t>
      </w:r>
      <w:r>
        <w:rPr>
          <w:rFonts w:hint="eastAsia" w:ascii="宋体" w:hAnsi="宋体" w:cs="宋体"/>
          <w:color w:val="000000"/>
          <w:sz w:val="32"/>
          <w:szCs w:val="32"/>
          <w:shd w:val="clear" w:color="auto" w:fill="FFFFFF"/>
        </w:rPr>
        <w:t>年</w:t>
      </w:r>
      <w:r>
        <w:rPr>
          <w:rFonts w:ascii="Times New Roman" w:hAnsi="Times New Roman" w:eastAsia="Times New Roman"/>
          <w:color w:val="000000"/>
          <w:sz w:val="32"/>
          <w:szCs w:val="32"/>
          <w:shd w:val="clear" w:color="auto" w:fill="FFFFFF"/>
        </w:rPr>
        <w:t>3</w:t>
      </w:r>
      <w:r>
        <w:rPr>
          <w:rFonts w:hint="eastAsia" w:ascii="宋体" w:hAnsi="宋体" w:cs="宋体"/>
          <w:color w:val="000000"/>
          <w:sz w:val="32"/>
          <w:szCs w:val="32"/>
          <w:shd w:val="clear" w:color="auto" w:fill="FFFFFF"/>
        </w:rPr>
        <w:t>月</w:t>
      </w:r>
      <w:r>
        <w:rPr>
          <w:rFonts w:hint="eastAsia" w:ascii="Times New Roman" w:hAnsi="Times New Roman"/>
          <w:color w:val="000000"/>
          <w:sz w:val="32"/>
          <w:szCs w:val="32"/>
          <w:shd w:val="clear" w:color="auto" w:fill="FFFFFF"/>
          <w:lang w:val="en-US" w:eastAsia="zh-CN"/>
        </w:rPr>
        <w:t>15</w:t>
      </w:r>
      <w:r>
        <w:rPr>
          <w:rFonts w:hint="eastAsia" w:ascii="宋体" w:hAnsi="宋体" w:cs="宋体"/>
          <w:color w:val="000000"/>
          <w:sz w:val="32"/>
          <w:szCs w:val="32"/>
          <w:shd w:val="clear" w:color="auto" w:fill="FFFFFF"/>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方正楷体简体">
    <w:altName w:val="宋体"/>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4097" o:spid="_x0000_s4097" o:spt="202" type="#_x0000_t202" style="position:absolute;left:0pt;margin-top:0pt;height:144pt;width:144pt;mso-position-horizontal:outside;mso-position-horizontal-relative:margin;mso-wrap-style:none;z-index:251660288;mso-width-relative:page;mso-height-relative:page;" filled="f" stroked="f" coordsize="21600,21600">
          <v:path/>
          <v:fill on="f" focussize="0,0"/>
          <v:stroke on="f" weight="0.5pt" joinstyle="miter"/>
          <v:imagedata o:title=""/>
          <o:lock v:ext="edit"/>
          <v:textbox inset="0mm,0mm,0mm,0mm" style="mso-fit-shape-to-text:t;">
            <w:txbxContent>
              <w:p>
                <w:pPr>
                  <w:snapToGrid w:val="0"/>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rPr>
                  <w:t>3</w:t>
                </w:r>
                <w:r>
                  <w:rPr>
                    <w:rFonts w:ascii="Times New Roman" w:hAnsi="Times New Roman"/>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F6E5AA4"/>
    <w:rsid w:val="000146F7"/>
    <w:rsid w:val="0026530E"/>
    <w:rsid w:val="00683880"/>
    <w:rsid w:val="006B0966"/>
    <w:rsid w:val="0073579D"/>
    <w:rsid w:val="00960FE2"/>
    <w:rsid w:val="00C35904"/>
    <w:rsid w:val="00DD5D77"/>
    <w:rsid w:val="00DE6AED"/>
    <w:rsid w:val="00F47C8E"/>
    <w:rsid w:val="00F8188F"/>
    <w:rsid w:val="08CC0988"/>
    <w:rsid w:val="146D6FCD"/>
    <w:rsid w:val="27C06D5F"/>
    <w:rsid w:val="29157527"/>
    <w:rsid w:val="349945CF"/>
    <w:rsid w:val="3FCD3A7F"/>
    <w:rsid w:val="4844616C"/>
    <w:rsid w:val="63DD49E4"/>
    <w:rsid w:val="64871BC3"/>
    <w:rsid w:val="66430429"/>
    <w:rsid w:val="6ED06E43"/>
    <w:rsid w:val="70957AE9"/>
    <w:rsid w:val="74150089"/>
    <w:rsid w:val="77F27563"/>
    <w:rsid w:val="7F6E5AA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8"/>
    <w:uiPriority w:val="99"/>
    <w:pPr>
      <w:spacing w:beforeLines="30"/>
    </w:pPr>
    <w:rPr>
      <w:rFonts w:ascii="仿宋_GB2312" w:eastAsia="仿宋_GB2312"/>
      <w:sz w:val="30"/>
    </w:rPr>
  </w:style>
  <w:style w:type="paragraph" w:styleId="3">
    <w:name w:val="footer"/>
    <w:basedOn w:val="1"/>
    <w:link w:val="9"/>
    <w:qFormat/>
    <w:uiPriority w:val="99"/>
    <w:pPr>
      <w:tabs>
        <w:tab w:val="center" w:pos="4153"/>
        <w:tab w:val="right" w:pos="8306"/>
      </w:tabs>
      <w:snapToGrid w:val="0"/>
      <w:jc w:val="left"/>
    </w:pPr>
    <w:rPr>
      <w:sz w:val="18"/>
    </w:rPr>
  </w:style>
  <w:style w:type="paragraph" w:styleId="4">
    <w:name w:val="header"/>
    <w:basedOn w:val="1"/>
    <w:link w:val="1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99"/>
    <w:pPr>
      <w:spacing w:beforeAutospacing="1" w:afterAutospacing="1"/>
      <w:jc w:val="left"/>
    </w:pPr>
    <w:rPr>
      <w:kern w:val="0"/>
      <w:sz w:val="24"/>
    </w:rPr>
  </w:style>
  <w:style w:type="character" w:customStyle="1" w:styleId="8">
    <w:name w:val="Body Text Char"/>
    <w:basedOn w:val="6"/>
    <w:link w:val="2"/>
    <w:semiHidden/>
    <w:locked/>
    <w:uiPriority w:val="99"/>
    <w:rPr>
      <w:rFonts w:ascii="Calibri" w:hAnsi="Calibri" w:cs="Times New Roman"/>
      <w:sz w:val="24"/>
      <w:szCs w:val="24"/>
    </w:rPr>
  </w:style>
  <w:style w:type="character" w:customStyle="1" w:styleId="9">
    <w:name w:val="Footer Char"/>
    <w:basedOn w:val="6"/>
    <w:link w:val="3"/>
    <w:semiHidden/>
    <w:qFormat/>
    <w:locked/>
    <w:uiPriority w:val="99"/>
    <w:rPr>
      <w:rFonts w:ascii="Calibri" w:hAnsi="Calibri" w:cs="Times New Roman"/>
      <w:sz w:val="18"/>
      <w:szCs w:val="18"/>
    </w:rPr>
  </w:style>
  <w:style w:type="character" w:customStyle="1" w:styleId="10">
    <w:name w:val="Header Char"/>
    <w:basedOn w:val="6"/>
    <w:link w:val="4"/>
    <w:semiHidden/>
    <w:qFormat/>
    <w:locked/>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3</Pages>
  <Words>208</Words>
  <Characters>1191</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2017-03-21T03:34:00Z</dcterms:created>
  <dc:creator>Administrator</dc:creator>
  <cp:lastModifiedBy>Administrator</cp:lastModifiedBy>
  <dcterms:modified xsi:type="dcterms:W3CDTF">2018-03-15T08:24:57Z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